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恒财-YC2023-003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师范学院学前教育实训室项目</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bookmarkStart w:id="2" w:name="_GoBack"/>
      <w:bookmarkEnd w:id="2"/>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南昌漫三科技有限公司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江西省南昌市青云谱区洪都南大道235号热心村3排附3号厂房</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u w:val="single"/>
        </w:rPr>
        <w:t>　宜春职业技术学院</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江西省宜春市袁州区锦绣大道996号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u w:val="single"/>
        </w:rPr>
        <w:t>　　江西恒财工程咨询有限公司</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江西省宜春市袁州区明月北路1098号枣树园农贸市场楼336号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相关供应商：江西圣启科技有限公司</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 址：江西省南昌市红谷滩区九龙大道1388号绿地国际博览城1号商业办公楼106、107室</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投诉人因对被投诉人质疑答复不满意，于2023年6月13日向本机关提起投诉，投诉书需补正，补正后的投诉书于2023年6月25日邮寄送达。本机关审查后依法受理，投诉事项现已审查结束。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中标单位提供分项报价表中以下产品为《强制性产品认证目录》82.玩具（2202）、19.家用电冰箱和食品冷冻箱（0701）、56.灯具（1001），以下产品制造商均无中国质量认证中心3C证书。请中标单位提供制造商的中国质量认证中心3C证书，提供不出则为虚假响应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24.烙饼机、26.绞肉机、38.吐司切片机、39.榨汁机家用渣汁分离等产品为《强制性产品认证目录》厨房机械（0713），以下产品既无制造商、又无中国质量认证中心3C证书。中标单位虚假响应招标文件，虚假响应，应按无效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被投诉人1称：2023年6月28日收到宜春市财政局发出的政府采购投诉答复通知书，代理公司于2023 年6月29日邀请原5位专家再次协助回复(详见投诉协助回复函）。复审结果为：经原专家小组共同讨论，认为江西圣启科技有限公司满足招标文件要求。在本项目招标过程中，依据政府采购法及实施条例完成了招标程序，按照时间节点进行了详细的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对于南昌漫三科技有限公司投诉事项1：代理公司己要求申标供应商提供了相关证书进行佐证。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投诉函中所提出产品均为实训室的配套用品，因该产品需要根据使用场地、位置等多种因素来确认产品的具体尺寸及其他相关要求，投标人无法确定规格、型号才能满足招标人需求，仅能明确所投产品为国产及所投产品数量，具体产品规格、型号只能在现场与业主根据场地、位置、施工方案等因素来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被投诉人2称：2023年6月28日收到宜春市财政局发出的政府采购投诉答复通知书，代理公司于2023 年6月29日邀请原5位专家再次协助回复(详见投诉协助回复函）。复审结果为：经原专家小组共同讨论，认为江西圣启科技有限公司满足招标文件要求。在本项目招标过程中，依据政府采购法及实施条例完成了招标程序，按照时间节点进行了详细的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对于南昌漫三科技有限公司投诉事项1：我公司己要求中标供应商提供了相关证书进行佐证。对于南昌漫三科技有限公司提出的六门雪柜和灯具，家用电冰箱和食品冷冻箱：有效容积在500 立升以下，家用或类型用途的有或无冷冻食品储藏室的电冰箱、冷冻食品储藏箱和食品冷冻箱及他们的组合。灯具：《强制性产品认证目录》中所提灯具为照明设备，舞台灯光不包含在内。本项目所要求此两项产品并非《强制性产品认证目录》内的强制性产品。（详见《强制性产品认证目录》描述与界定表第27面、第30-40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投诉函中所提出产品均为实训室的配套用品，因该产品需要根据使用场地、位置等多种因素来确认产品的具体尺寸及其他相关要求，投标人无法确定规格、型号才能满足招标人需求，仅能明确所投产品为国产及所投产品数量，具体产品规格、型号只能在现场与业主根据场地、位置、施工方案等因素来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相关当事人称：1.招标文件中并未要求提供3C证书。法律法规并未规定：投标人未提供招标文件中未要求的证书，即为虚假应标，同时需做废标处理。因此“请中标单位提供制造商的中国质量认证中心3C证书，提供不出则为虚假响应招标文件”为投诉人的自定义而非法律法规的定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2.①请贵单位详细核查我公司投标文件，由于产品众多，近230 项品目，其中部分品目因考虑用户的实际使用需求，我公司制造商填写了国产，但型号是定制，意即：根据实际使用现场用户提供的产地、位置、施工方案、应用需求等因素为用户定制最符合使用需求的产品。②基于以上原因，投诉人将我司提供的国产定制产品恶意定义为三无产品，属于偷换概念，我司不予认同。③另法律法规并未规定：投标人不能为适用方提供最符合实际需求的国产定制产品。因此投诉人声称“中标单位虚假响应招标文件，虚假响应，应按无效标处理”实属恶意中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中华人民共和国政府采购法》第二十二条的规定，供应商参加政府采购活动应当具备下列条件：（六）法律、行政法规规定的其他条件。《政府采购促进中小企业发展管理办法》（财库〔2020〕46号）第八条的规定，超过200万元的货物和服务采购项目、超过400万元的工程采购项目中适宜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本项目采购文件第二章投标人须知 八、为落实政府采购政策，采购标的需满足的要求，以及投标人须提供的证明材料30.3第二款：本项目预留采购总额的40%及以上专门面向中小企业采购，其中预留给小微企业的比例不低于70%，由投标人自行选择清单划分并在分项报价表中注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2023年5月9日，本项目开标，评标委员会在进行供应商投标文件符合性审查时，对南昌漫三科技有限公司发出《无效文件通知书》，原因为：招标文件要求，本项目予留采购总额的40%及以上专门面向中小企业采购，其中预留给小微企业的比例不低于70%，由投标人自行选择清单划分并在分项报价表中注明。该企业未在分项报价表中注明中小微企业，以及未提供中小企业申明函，根据招标文件第23.1.2条款，不符合法律法规和招标文件中规定的其他实质性要求的，作无效投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投诉人于2023年5月18日，向代理机构提出质疑，质疑事项与投诉事项一致，未就评标委员会对其作无效投标处理未提出质疑；代理机构于2023年5月25日，就质疑事项作出了答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标人不符合法律法规和招标文件中规定的实质性要求，在法定时限内未就评标委员会对其作出无效投标处理提出质疑，当事人向采购人提出的质疑不属于《中华人民共和国政府采购法》第五十二条规定情形，投诉没有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1.南昌漫三科技有限公司：《投诉书》及相关材料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2.宜春职业技术学院：《关于宜春职业技术学院师范学院学前教育实训室项目（恒财-YC2023-003）的答复说明函》及相关材料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3.江西恒财工程咨询有限公司：《关于宜春职业技术学院师范学院学前教育实训室项目（恒财-YC2023-003）的答复说明函》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4.江西圣启科技有限公司《回复函》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5.本项目采购文件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6.本项目采购信息公告（包括：采购公告、变更公告、结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果公示、合同公示）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7.本项目评标报告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8.2023年5月9日本项目评标委员会《无效文件通知书》</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根据《政府采购质疑和投诉办法》（财政部令第94号）第二十九条第一款第（一）项之规定，本机关决定：驳回投诉。   </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2BA82395"/>
    <w:rsid w:val="37F73E46"/>
    <w:rsid w:val="3FC438CC"/>
    <w:rsid w:val="494A433D"/>
    <w:rsid w:val="4BDC21EF"/>
    <w:rsid w:val="4D3519CC"/>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semiHidden/>
    <w:unhideWhenUsed/>
    <w:qFormat/>
    <w:uiPriority w:val="99"/>
    <w:pPr>
      <w:jc w:val="left"/>
    </w:pPr>
  </w:style>
  <w:style w:type="paragraph" w:styleId="5">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autoRedefine/>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autoRedefine/>
    <w:semiHidden/>
    <w:qFormat/>
    <w:uiPriority w:val="99"/>
    <w:rPr>
      <w:rFonts w:ascii="Times New Roman" w:hAnsi="Times New Roman" w:eastAsia="宋体" w:cs="Times New Roman"/>
      <w:szCs w:val="21"/>
    </w:rPr>
  </w:style>
  <w:style w:type="character" w:customStyle="1" w:styleId="26">
    <w:name w:val="纯文本 Char"/>
    <w:basedOn w:val="18"/>
    <w:link w:val="6"/>
    <w:autoRedefine/>
    <w:qFormat/>
    <w:uiPriority w:val="0"/>
    <w:rPr>
      <w:rFonts w:ascii="宋体" w:hAnsi="Courier New"/>
    </w:rPr>
  </w:style>
  <w:style w:type="character" w:customStyle="1" w:styleId="27">
    <w:name w:val="日期 Char"/>
    <w:basedOn w:val="18"/>
    <w:link w:val="7"/>
    <w:autoRedefine/>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2358</Words>
  <Characters>2440</Characters>
  <Lines>57</Lines>
  <Paragraphs>16</Paragraphs>
  <TotalTime>0</TotalTime>
  <ScaleCrop>false</ScaleCrop>
  <LinksUpToDate>false</LinksUpToDate>
  <CharactersWithSpaces>2556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2024-04-17T02:30:23Z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07852D2B110A44038E57C0F4F5108360_13</vt:lpwstr>
  </property>
</Properties>
</file>